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91DD0" w14:textId="77777777" w:rsidR="00134BF6" w:rsidRPr="00627DEA" w:rsidRDefault="006C4746" w:rsidP="00107A9A">
      <w:pPr>
        <w:jc w:val="both"/>
        <w:rPr>
          <w:b/>
          <w:smallCaps/>
          <w:color w:val="1F4E79" w:themeColor="accent1" w:themeShade="80"/>
          <w:sz w:val="44"/>
        </w:rPr>
      </w:pPr>
      <w:r w:rsidRPr="00627DEA">
        <w:rPr>
          <w:b/>
          <w:smallCaps/>
          <w:noProof/>
          <w:color w:val="1F4E79" w:themeColor="accent1" w:themeShade="80"/>
          <w:sz w:val="44"/>
        </w:rPr>
        <w:drawing>
          <wp:anchor distT="0" distB="0" distL="114300" distR="114300" simplePos="0" relativeHeight="251658240" behindDoc="0" locked="0" layoutInCell="1" allowOverlap="1" wp14:anchorId="2C538F84" wp14:editId="1CB5964B">
            <wp:simplePos x="0" y="0"/>
            <wp:positionH relativeFrom="column">
              <wp:posOffset>4171950</wp:posOffset>
            </wp:positionH>
            <wp:positionV relativeFrom="paragraph">
              <wp:posOffset>-123825</wp:posOffset>
            </wp:positionV>
            <wp:extent cx="1783080" cy="1133856"/>
            <wp:effectExtent l="0" t="0" r="7620" b="9525"/>
            <wp:wrapNone/>
            <wp:docPr id="1" name="Picture 1" descr="SPE-G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G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080" cy="1133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DEA">
        <w:rPr>
          <w:b/>
          <w:smallCaps/>
          <w:color w:val="1F4E79" w:themeColor="accent1" w:themeShade="80"/>
          <w:sz w:val="44"/>
        </w:rPr>
        <w:t xml:space="preserve">SPE-GCS </w:t>
      </w:r>
      <w:r w:rsidR="00364E01">
        <w:rPr>
          <w:b/>
          <w:smallCaps/>
          <w:color w:val="1F4E79" w:themeColor="accent1" w:themeShade="80"/>
          <w:sz w:val="44"/>
        </w:rPr>
        <w:t>Nexonia How-To</w:t>
      </w:r>
    </w:p>
    <w:p w14:paraId="4509978B" w14:textId="77777777" w:rsidR="006C4746" w:rsidRDefault="006C4746" w:rsidP="00107A9A">
      <w:pPr>
        <w:jc w:val="both"/>
      </w:pPr>
    </w:p>
    <w:p w14:paraId="1C078751" w14:textId="77777777" w:rsidR="00364E01" w:rsidRDefault="00364E01" w:rsidP="00107A9A">
      <w:pPr>
        <w:jc w:val="both"/>
      </w:pPr>
    </w:p>
    <w:p w14:paraId="67DEDD67" w14:textId="77777777" w:rsidR="006C4746" w:rsidRDefault="006C4746" w:rsidP="00107A9A">
      <w:pPr>
        <w:jc w:val="both"/>
      </w:pPr>
    </w:p>
    <w:p w14:paraId="6BE0B459" w14:textId="77777777" w:rsidR="00F30C4B" w:rsidRDefault="00F30C4B" w:rsidP="00107A9A">
      <w:pPr>
        <w:jc w:val="both"/>
      </w:pPr>
    </w:p>
    <w:tbl>
      <w:tblPr>
        <w:tblStyle w:val="TableGrid"/>
        <w:tblW w:w="0" w:type="auto"/>
        <w:tblLayout w:type="fixed"/>
        <w:tblLook w:val="04A0" w:firstRow="1" w:lastRow="0" w:firstColumn="1" w:lastColumn="0" w:noHBand="0" w:noVBand="1"/>
      </w:tblPr>
      <w:tblGrid>
        <w:gridCol w:w="1525"/>
        <w:gridCol w:w="1890"/>
        <w:gridCol w:w="3060"/>
        <w:gridCol w:w="2875"/>
      </w:tblGrid>
      <w:tr w:rsidR="00F85D10" w:rsidRPr="00DD213F" w14:paraId="03950EBE" w14:textId="77777777" w:rsidTr="00364E01">
        <w:tc>
          <w:tcPr>
            <w:tcW w:w="1525" w:type="dxa"/>
            <w:shd w:val="clear" w:color="auto" w:fill="D9E2F3" w:themeFill="accent5" w:themeFillTint="33"/>
          </w:tcPr>
          <w:p w14:paraId="2673A4CF" w14:textId="77777777" w:rsidR="00F85D10" w:rsidRPr="00DD213F" w:rsidRDefault="00F85D10" w:rsidP="00107A9A">
            <w:pPr>
              <w:jc w:val="both"/>
              <w:rPr>
                <w:b/>
              </w:rPr>
            </w:pPr>
            <w:r w:rsidRPr="00DD213F">
              <w:rPr>
                <w:b/>
              </w:rPr>
              <w:t>Revision No.</w:t>
            </w:r>
          </w:p>
        </w:tc>
        <w:tc>
          <w:tcPr>
            <w:tcW w:w="1890" w:type="dxa"/>
            <w:shd w:val="clear" w:color="auto" w:fill="D9E2F3" w:themeFill="accent5" w:themeFillTint="33"/>
          </w:tcPr>
          <w:p w14:paraId="3D865105" w14:textId="77777777" w:rsidR="00F85D10" w:rsidRPr="00DD213F" w:rsidRDefault="00F85D10" w:rsidP="00107A9A">
            <w:pPr>
              <w:jc w:val="both"/>
              <w:rPr>
                <w:b/>
              </w:rPr>
            </w:pPr>
            <w:r w:rsidRPr="00DD213F">
              <w:rPr>
                <w:b/>
              </w:rPr>
              <w:t>Revision Date</w:t>
            </w:r>
          </w:p>
        </w:tc>
        <w:tc>
          <w:tcPr>
            <w:tcW w:w="3060" w:type="dxa"/>
            <w:shd w:val="clear" w:color="auto" w:fill="D9E2F3" w:themeFill="accent5" w:themeFillTint="33"/>
          </w:tcPr>
          <w:p w14:paraId="64DF1304" w14:textId="77777777" w:rsidR="00F85D10" w:rsidRPr="00DD213F" w:rsidRDefault="00F85D10" w:rsidP="00107A9A">
            <w:pPr>
              <w:jc w:val="both"/>
              <w:rPr>
                <w:b/>
              </w:rPr>
            </w:pPr>
            <w:r w:rsidRPr="00DD213F">
              <w:rPr>
                <w:b/>
              </w:rPr>
              <w:t>Revised By</w:t>
            </w:r>
          </w:p>
        </w:tc>
        <w:tc>
          <w:tcPr>
            <w:tcW w:w="2875" w:type="dxa"/>
            <w:shd w:val="clear" w:color="auto" w:fill="D9E2F3" w:themeFill="accent5" w:themeFillTint="33"/>
          </w:tcPr>
          <w:p w14:paraId="5CE9775D" w14:textId="77777777" w:rsidR="00F85D10" w:rsidRPr="00DD213F" w:rsidRDefault="00F85D10" w:rsidP="00107A9A">
            <w:pPr>
              <w:jc w:val="both"/>
              <w:rPr>
                <w:b/>
              </w:rPr>
            </w:pPr>
            <w:r w:rsidRPr="00DD213F">
              <w:rPr>
                <w:b/>
              </w:rPr>
              <w:t>Function</w:t>
            </w:r>
          </w:p>
        </w:tc>
      </w:tr>
      <w:tr w:rsidR="00F85D10" w:rsidRPr="00A24D4B" w14:paraId="10640581" w14:textId="77777777" w:rsidTr="00305D86">
        <w:tc>
          <w:tcPr>
            <w:tcW w:w="1525" w:type="dxa"/>
          </w:tcPr>
          <w:p w14:paraId="08634E57" w14:textId="77777777" w:rsidR="00F85D10" w:rsidRPr="00A24D4B" w:rsidRDefault="00F85D10" w:rsidP="00107A9A">
            <w:pPr>
              <w:spacing w:before="0" w:after="0"/>
              <w:jc w:val="both"/>
              <w:rPr>
                <w:sz w:val="20"/>
              </w:rPr>
            </w:pPr>
            <w:r w:rsidRPr="00A24D4B">
              <w:rPr>
                <w:sz w:val="20"/>
              </w:rPr>
              <w:t>1</w:t>
            </w:r>
          </w:p>
        </w:tc>
        <w:tc>
          <w:tcPr>
            <w:tcW w:w="1890" w:type="dxa"/>
          </w:tcPr>
          <w:p w14:paraId="64C125BD" w14:textId="32867479" w:rsidR="00F85D10" w:rsidRPr="00A24D4B" w:rsidRDefault="004E5DC2" w:rsidP="00107A9A">
            <w:pPr>
              <w:spacing w:before="0" w:after="0"/>
              <w:jc w:val="both"/>
              <w:rPr>
                <w:sz w:val="20"/>
              </w:rPr>
            </w:pPr>
            <w:r>
              <w:rPr>
                <w:sz w:val="20"/>
              </w:rPr>
              <w:t>1</w:t>
            </w:r>
            <w:r w:rsidR="00107A9A">
              <w:rPr>
                <w:sz w:val="20"/>
              </w:rPr>
              <w:t>9</w:t>
            </w:r>
            <w:bookmarkStart w:id="0" w:name="_GoBack"/>
            <w:bookmarkEnd w:id="0"/>
            <w:r>
              <w:rPr>
                <w:sz w:val="20"/>
              </w:rPr>
              <w:t>-Feb</w:t>
            </w:r>
            <w:r w:rsidR="00364E01">
              <w:rPr>
                <w:sz w:val="20"/>
              </w:rPr>
              <w:t>-2020</w:t>
            </w:r>
          </w:p>
        </w:tc>
        <w:tc>
          <w:tcPr>
            <w:tcW w:w="3060" w:type="dxa"/>
          </w:tcPr>
          <w:p w14:paraId="60D19E19" w14:textId="77777777" w:rsidR="00F85D10" w:rsidRPr="00A24D4B" w:rsidRDefault="00F85D10" w:rsidP="00107A9A">
            <w:pPr>
              <w:spacing w:before="0" w:after="0"/>
              <w:jc w:val="both"/>
              <w:rPr>
                <w:sz w:val="20"/>
              </w:rPr>
            </w:pPr>
            <w:r w:rsidRPr="00A24D4B">
              <w:rPr>
                <w:sz w:val="20"/>
              </w:rPr>
              <w:t>Brian Sinosic</w:t>
            </w:r>
          </w:p>
        </w:tc>
        <w:tc>
          <w:tcPr>
            <w:tcW w:w="2875" w:type="dxa"/>
          </w:tcPr>
          <w:p w14:paraId="64AB0823" w14:textId="77777777" w:rsidR="00F85D10" w:rsidRPr="00A24D4B" w:rsidRDefault="00F85D10" w:rsidP="00107A9A">
            <w:pPr>
              <w:spacing w:before="0" w:after="0"/>
              <w:jc w:val="both"/>
              <w:rPr>
                <w:sz w:val="20"/>
              </w:rPr>
            </w:pPr>
            <w:r w:rsidRPr="00A24D4B">
              <w:rPr>
                <w:sz w:val="20"/>
              </w:rPr>
              <w:t>SPE-GCS Treasurer</w:t>
            </w:r>
          </w:p>
        </w:tc>
      </w:tr>
    </w:tbl>
    <w:p w14:paraId="6833D0B8" w14:textId="77777777" w:rsidR="00F85D10" w:rsidRDefault="00F85D10" w:rsidP="00107A9A">
      <w:pPr>
        <w:jc w:val="both"/>
      </w:pPr>
    </w:p>
    <w:p w14:paraId="26DB1F27" w14:textId="77777777" w:rsidR="00F85D10" w:rsidRPr="00627DEA" w:rsidRDefault="00FF4AB1" w:rsidP="00107A9A">
      <w:pPr>
        <w:pStyle w:val="Heading1"/>
        <w:jc w:val="both"/>
      </w:pPr>
      <w:r>
        <w:t xml:space="preserve">SPEGCS </w:t>
      </w:r>
      <w:r w:rsidR="008E03C3">
        <w:t>treasury team</w:t>
      </w:r>
      <w:r>
        <w:t>:</w:t>
      </w:r>
      <w:r w:rsidR="008E03C3">
        <w:t xml:space="preserve"> </w:t>
      </w:r>
      <w:r>
        <w:t xml:space="preserve"> </w:t>
      </w:r>
      <w:r w:rsidR="008E03C3">
        <w:t xml:space="preserve">primary </w:t>
      </w:r>
      <w:r w:rsidR="00E37DDC">
        <w:t>responsibilities</w:t>
      </w:r>
    </w:p>
    <w:p w14:paraId="3F46DBC2" w14:textId="77777777" w:rsidR="006C4746" w:rsidRDefault="00E37DDC" w:rsidP="00107A9A">
      <w:pPr>
        <w:pStyle w:val="Heading2"/>
        <w:jc w:val="both"/>
      </w:pPr>
      <w:r>
        <w:t>Treasurer</w:t>
      </w:r>
    </w:p>
    <w:p w14:paraId="1C696AFC" w14:textId="77777777" w:rsidR="009910C4" w:rsidRDefault="009910C4" w:rsidP="00107A9A">
      <w:pPr>
        <w:pStyle w:val="ListParagraph"/>
        <w:numPr>
          <w:ilvl w:val="1"/>
          <w:numId w:val="1"/>
        </w:numPr>
        <w:jc w:val="both"/>
      </w:pPr>
      <w:r>
        <w:t>Annual SPEGCS budget consolidation</w:t>
      </w:r>
      <w:r w:rsidR="008E03C3">
        <w:t>, m</w:t>
      </w:r>
      <w:r>
        <w:t>onthly budget review and BOD presentation</w:t>
      </w:r>
    </w:p>
    <w:p w14:paraId="133A004B" w14:textId="77777777" w:rsidR="009910C4" w:rsidRDefault="009910C4" w:rsidP="00107A9A">
      <w:pPr>
        <w:pStyle w:val="ListParagraph"/>
        <w:numPr>
          <w:ilvl w:val="1"/>
          <w:numId w:val="1"/>
        </w:numPr>
        <w:jc w:val="both"/>
      </w:pPr>
      <w:r>
        <w:t>Maintenance of SPEGCS current cash accounts and SPEGCS investment accounts</w:t>
      </w:r>
    </w:p>
    <w:p w14:paraId="332A004F" w14:textId="77777777" w:rsidR="009910C4" w:rsidRDefault="009910C4" w:rsidP="00107A9A">
      <w:pPr>
        <w:pStyle w:val="ListParagraph"/>
        <w:numPr>
          <w:ilvl w:val="1"/>
          <w:numId w:val="1"/>
        </w:numPr>
        <w:jc w:val="both"/>
      </w:pPr>
      <w:r>
        <w:t>Maintenance and funding of SPEGCS SEF investment accounts</w:t>
      </w:r>
    </w:p>
    <w:p w14:paraId="6D5A9FFA" w14:textId="77777777" w:rsidR="006B5E3B" w:rsidRDefault="006B5E3B" w:rsidP="00107A9A">
      <w:pPr>
        <w:pStyle w:val="ListParagraph"/>
        <w:numPr>
          <w:ilvl w:val="1"/>
          <w:numId w:val="1"/>
        </w:numPr>
        <w:jc w:val="both"/>
      </w:pPr>
      <w:r>
        <w:t xml:space="preserve">Facilitation of payment request </w:t>
      </w:r>
      <w:r w:rsidR="00C21D79">
        <w:t>reconciliation</w:t>
      </w:r>
      <w:r>
        <w:t xml:space="preserve"> and </w:t>
      </w:r>
      <w:r w:rsidR="00BD6EBE">
        <w:t>authorization of payments</w:t>
      </w:r>
    </w:p>
    <w:p w14:paraId="48B82C63" w14:textId="77777777" w:rsidR="006C4746" w:rsidRDefault="00E37DDC" w:rsidP="00107A9A">
      <w:pPr>
        <w:pStyle w:val="Heading2"/>
        <w:jc w:val="both"/>
      </w:pPr>
      <w:r>
        <w:t>Vice-Treasurer</w:t>
      </w:r>
    </w:p>
    <w:p w14:paraId="5C8BA176" w14:textId="77777777" w:rsidR="006C4746" w:rsidRDefault="009910C4" w:rsidP="00107A9A">
      <w:pPr>
        <w:pStyle w:val="ListParagraph"/>
        <w:numPr>
          <w:ilvl w:val="1"/>
          <w:numId w:val="1"/>
        </w:numPr>
        <w:jc w:val="both"/>
      </w:pPr>
      <w:r>
        <w:t>Review and approval of SPEGCS group payment requests</w:t>
      </w:r>
    </w:p>
    <w:p w14:paraId="73BE215A" w14:textId="77777777" w:rsidR="009910C4" w:rsidRDefault="008E03C3" w:rsidP="00107A9A">
      <w:pPr>
        <w:pStyle w:val="ListParagraph"/>
        <w:numPr>
          <w:ilvl w:val="1"/>
          <w:numId w:val="1"/>
        </w:numPr>
        <w:jc w:val="both"/>
      </w:pPr>
      <w:r>
        <w:t>Coordination with group Treasurers regarding payment request issues</w:t>
      </w:r>
    </w:p>
    <w:p w14:paraId="601272B4" w14:textId="77777777" w:rsidR="00BD6EBE" w:rsidRDefault="00BD6EBE" w:rsidP="00107A9A">
      <w:pPr>
        <w:pStyle w:val="ListParagraph"/>
        <w:numPr>
          <w:ilvl w:val="1"/>
          <w:numId w:val="1"/>
        </w:numPr>
        <w:jc w:val="both"/>
      </w:pPr>
      <w:r>
        <w:t>Payment authorization</w:t>
      </w:r>
    </w:p>
    <w:p w14:paraId="3EC74AB8" w14:textId="77777777" w:rsidR="006C4746" w:rsidRDefault="00E37DDC" w:rsidP="00107A9A">
      <w:pPr>
        <w:pStyle w:val="Heading2"/>
        <w:jc w:val="both"/>
      </w:pPr>
      <w:r>
        <w:t>Section Specialist</w:t>
      </w:r>
    </w:p>
    <w:p w14:paraId="7E8A3AD3" w14:textId="77777777" w:rsidR="006C4746" w:rsidRDefault="008E03C3" w:rsidP="00107A9A">
      <w:pPr>
        <w:pStyle w:val="ListParagraph"/>
        <w:numPr>
          <w:ilvl w:val="1"/>
          <w:numId w:val="1"/>
        </w:numPr>
        <w:jc w:val="both"/>
      </w:pPr>
      <w:r>
        <w:t>Maintenance of SPEGCS financial records</w:t>
      </w:r>
    </w:p>
    <w:p w14:paraId="17FFA385" w14:textId="77777777" w:rsidR="006B5E3B" w:rsidRDefault="006B5E3B" w:rsidP="00107A9A">
      <w:pPr>
        <w:pStyle w:val="ListParagraph"/>
        <w:numPr>
          <w:ilvl w:val="1"/>
          <w:numId w:val="1"/>
        </w:numPr>
        <w:jc w:val="both"/>
      </w:pPr>
      <w:r>
        <w:t>Coordination of sponsorship receipts</w:t>
      </w:r>
      <w:r w:rsidR="00C21D79">
        <w:t>/billing</w:t>
      </w:r>
    </w:p>
    <w:p w14:paraId="4530EA53" w14:textId="77777777" w:rsidR="00BD6EBE" w:rsidRDefault="00FF4AB1" w:rsidP="00107A9A">
      <w:pPr>
        <w:pStyle w:val="ListParagraph"/>
        <w:numPr>
          <w:ilvl w:val="1"/>
          <w:numId w:val="1"/>
        </w:numPr>
        <w:jc w:val="both"/>
      </w:pPr>
      <w:r>
        <w:t>Preparation</w:t>
      </w:r>
      <w:r w:rsidR="006B5E3B">
        <w:t xml:space="preserve"> of </w:t>
      </w:r>
      <w:r w:rsidR="00BD6EBE">
        <w:t xml:space="preserve">all </w:t>
      </w:r>
      <w:r w:rsidR="006B5E3B">
        <w:t>payment requests</w:t>
      </w:r>
    </w:p>
    <w:p w14:paraId="009A5729" w14:textId="77777777" w:rsidR="00FF4AB1" w:rsidRDefault="00FF4AB1" w:rsidP="00107A9A">
      <w:pPr>
        <w:pStyle w:val="ListParagraph"/>
        <w:numPr>
          <w:ilvl w:val="1"/>
          <w:numId w:val="1"/>
        </w:numPr>
        <w:jc w:val="both"/>
      </w:pPr>
      <w:r>
        <w:t>As-</w:t>
      </w:r>
      <w:r w:rsidR="00C21D79">
        <w:t>arranged</w:t>
      </w:r>
      <w:r>
        <w:t xml:space="preserve"> support of group events</w:t>
      </w:r>
    </w:p>
    <w:p w14:paraId="3C0E6DAD" w14:textId="77777777" w:rsidR="008E03C3" w:rsidRDefault="008E03C3" w:rsidP="00107A9A">
      <w:pPr>
        <w:pStyle w:val="Heading2"/>
        <w:jc w:val="both"/>
      </w:pPr>
      <w:r>
        <w:t>Study Group/Committee/Event Treasurer</w:t>
      </w:r>
      <w:r w:rsidR="00BD6EBE">
        <w:t>s</w:t>
      </w:r>
    </w:p>
    <w:p w14:paraId="10925F04" w14:textId="77777777" w:rsidR="008E03C3" w:rsidRDefault="00BD6EBE" w:rsidP="00107A9A">
      <w:pPr>
        <w:pStyle w:val="ListParagraph"/>
        <w:numPr>
          <w:ilvl w:val="1"/>
          <w:numId w:val="1"/>
        </w:numPr>
        <w:jc w:val="both"/>
      </w:pPr>
      <w:r>
        <w:t>Reconciliation of all group receipts and invoices</w:t>
      </w:r>
    </w:p>
    <w:p w14:paraId="5A53E13C" w14:textId="77777777" w:rsidR="006B5E3B" w:rsidRDefault="00BD6EBE" w:rsidP="00107A9A">
      <w:pPr>
        <w:pStyle w:val="ListParagraph"/>
        <w:numPr>
          <w:ilvl w:val="1"/>
          <w:numId w:val="1"/>
        </w:numPr>
        <w:jc w:val="both"/>
      </w:pPr>
      <w:r>
        <w:t>Submission of all group payment requests via Nexonia</w:t>
      </w:r>
    </w:p>
    <w:p w14:paraId="5EF4B142" w14:textId="77777777" w:rsidR="00FF4AB1" w:rsidRDefault="00FF4AB1" w:rsidP="00107A9A">
      <w:pPr>
        <w:pStyle w:val="ListParagraph"/>
        <w:numPr>
          <w:ilvl w:val="1"/>
          <w:numId w:val="1"/>
        </w:numPr>
        <w:jc w:val="both"/>
      </w:pPr>
      <w:r>
        <w:t>As-needed coordination with SPEGCS staff regarding event-related major expense direct-billing (venue, catering, etc.)</w:t>
      </w:r>
    </w:p>
    <w:p w14:paraId="6C41117B" w14:textId="77777777" w:rsidR="00FF4AB1" w:rsidRDefault="00FF4AB1" w:rsidP="00107A9A">
      <w:pPr>
        <w:pStyle w:val="ListParagraph"/>
        <w:numPr>
          <w:ilvl w:val="1"/>
          <w:numId w:val="1"/>
        </w:numPr>
        <w:jc w:val="both"/>
      </w:pPr>
      <w:r>
        <w:t>Annual preparation and submission of group budget.</w:t>
      </w:r>
    </w:p>
    <w:p w14:paraId="17489A17" w14:textId="77777777" w:rsidR="00FF4AB1" w:rsidRDefault="00FF4AB1" w:rsidP="00107A9A">
      <w:pPr>
        <w:spacing w:before="0" w:after="160" w:line="259" w:lineRule="auto"/>
        <w:jc w:val="both"/>
        <w:rPr>
          <w:rFonts w:asciiTheme="majorHAnsi" w:eastAsiaTheme="majorEastAsia" w:hAnsiTheme="majorHAnsi" w:cstheme="majorBidi"/>
          <w:b/>
          <w:caps/>
          <w:color w:val="1F4E79" w:themeColor="accent1" w:themeShade="80"/>
          <w:sz w:val="36"/>
          <w:szCs w:val="32"/>
        </w:rPr>
      </w:pPr>
      <w:r>
        <w:br w:type="page"/>
      </w:r>
    </w:p>
    <w:p w14:paraId="574C2850" w14:textId="77777777" w:rsidR="00DD213F" w:rsidRDefault="00E37DDC" w:rsidP="00107A9A">
      <w:pPr>
        <w:pStyle w:val="Heading1"/>
        <w:jc w:val="both"/>
      </w:pPr>
      <w:r>
        <w:lastRenderedPageBreak/>
        <w:t>overview</w:t>
      </w:r>
    </w:p>
    <w:p w14:paraId="1FB37B9A" w14:textId="77777777" w:rsidR="00DD213F" w:rsidRDefault="00DD213F" w:rsidP="00107A9A">
      <w:pPr>
        <w:jc w:val="both"/>
      </w:pPr>
    </w:p>
    <w:p w14:paraId="4399840F" w14:textId="77777777" w:rsidR="002B51A6" w:rsidRDefault="00E37DDC" w:rsidP="00107A9A">
      <w:pPr>
        <w:pStyle w:val="Heading2"/>
        <w:numPr>
          <w:ilvl w:val="0"/>
          <w:numId w:val="9"/>
        </w:numPr>
        <w:ind w:left="720"/>
        <w:jc w:val="both"/>
      </w:pPr>
      <w:r>
        <w:t>General Payment/Reimbursement Process</w:t>
      </w:r>
      <w:r w:rsidR="00D70824">
        <w:t xml:space="preserve"> &amp; Requirements</w:t>
      </w:r>
    </w:p>
    <w:p w14:paraId="736C075E" w14:textId="77777777" w:rsidR="002B51A6" w:rsidRDefault="00D70824" w:rsidP="00107A9A">
      <w:pPr>
        <w:pStyle w:val="Heading2"/>
        <w:numPr>
          <w:ilvl w:val="1"/>
          <w:numId w:val="12"/>
        </w:numPr>
        <w:ind w:left="1080"/>
        <w:jc w:val="both"/>
        <w:rPr>
          <w:b w:val="0"/>
          <w:sz w:val="24"/>
          <w:u w:val="none"/>
        </w:rPr>
      </w:pPr>
      <w:r>
        <w:rPr>
          <w:b w:val="0"/>
          <w:sz w:val="24"/>
          <w:u w:val="none"/>
        </w:rPr>
        <w:t xml:space="preserve">SPEGCS Payment/Reimbursement </w:t>
      </w:r>
      <w:r w:rsidR="006E63A8">
        <w:rPr>
          <w:b w:val="0"/>
          <w:sz w:val="24"/>
          <w:u w:val="none"/>
        </w:rPr>
        <w:t>Overview</w:t>
      </w:r>
    </w:p>
    <w:p w14:paraId="12638BC6" w14:textId="77777777" w:rsidR="0083412E" w:rsidRDefault="00D70824" w:rsidP="00107A9A">
      <w:pPr>
        <w:pStyle w:val="ListParagraph"/>
        <w:numPr>
          <w:ilvl w:val="0"/>
          <w:numId w:val="13"/>
        </w:numPr>
        <w:spacing w:before="120" w:after="0"/>
        <w:ind w:left="1530"/>
        <w:contextualSpacing w:val="0"/>
        <w:jc w:val="both"/>
      </w:pPr>
      <w:r>
        <w:t xml:space="preserve">Nexonia has been adopted as the platform for request and approval of </w:t>
      </w:r>
      <w:r w:rsidRPr="00D70824">
        <w:rPr>
          <w:i/>
          <w:u w:val="single"/>
        </w:rPr>
        <w:t>all</w:t>
      </w:r>
      <w:r>
        <w:t xml:space="preserve"> SPEGCS payments (expense reimbursements, vendor payments, donations, scholarships, etc.)</w:t>
      </w:r>
    </w:p>
    <w:p w14:paraId="0FF5F0B1" w14:textId="77777777" w:rsidR="00D70824" w:rsidRDefault="00D70824" w:rsidP="00107A9A">
      <w:pPr>
        <w:pStyle w:val="ListParagraph"/>
        <w:numPr>
          <w:ilvl w:val="0"/>
          <w:numId w:val="13"/>
        </w:numPr>
        <w:spacing w:before="120" w:after="0"/>
        <w:ind w:left="1530"/>
        <w:contextualSpacing w:val="0"/>
        <w:jc w:val="both"/>
      </w:pPr>
      <w:r>
        <w:t xml:space="preserve">Each Study Group/Committee/Event has been allocated </w:t>
      </w:r>
      <w:r w:rsidRPr="00FF4AB1">
        <w:rPr>
          <w:i/>
          <w:u w:val="single"/>
        </w:rPr>
        <w:t>one</w:t>
      </w:r>
      <w:r>
        <w:t xml:space="preserve"> Nexonia account (generally assigned to the group Treasurer)</w:t>
      </w:r>
      <w:r w:rsidR="006E63A8">
        <w:t>.  Account changes and password resets are managed by SPEGCS staff.</w:t>
      </w:r>
    </w:p>
    <w:p w14:paraId="691F6DE5" w14:textId="77777777" w:rsidR="006E63A8" w:rsidRDefault="006E63A8" w:rsidP="00107A9A">
      <w:pPr>
        <w:pStyle w:val="ListParagraph"/>
        <w:numPr>
          <w:ilvl w:val="0"/>
          <w:numId w:val="13"/>
        </w:numPr>
        <w:spacing w:before="120" w:after="0"/>
        <w:ind w:left="1530"/>
        <w:contextualSpacing w:val="0"/>
        <w:jc w:val="both"/>
      </w:pPr>
      <w:r>
        <w:t>Process</w:t>
      </w:r>
    </w:p>
    <w:p w14:paraId="75C7E1D9" w14:textId="77777777" w:rsidR="00D70824" w:rsidRDefault="00D70824" w:rsidP="00107A9A">
      <w:pPr>
        <w:pStyle w:val="ListParagraph"/>
        <w:numPr>
          <w:ilvl w:val="1"/>
          <w:numId w:val="18"/>
        </w:numPr>
        <w:spacing w:before="120" w:after="0"/>
        <w:contextualSpacing w:val="0"/>
        <w:jc w:val="both"/>
      </w:pPr>
      <w:r>
        <w:t xml:space="preserve">Group Treasurers </w:t>
      </w:r>
      <w:r w:rsidR="00633A74">
        <w:t>submit payment requests through Nexonia</w:t>
      </w:r>
    </w:p>
    <w:p w14:paraId="1030451C" w14:textId="77777777" w:rsidR="00633A74" w:rsidRDefault="00633A74" w:rsidP="00107A9A">
      <w:pPr>
        <w:pStyle w:val="ListParagraph"/>
        <w:numPr>
          <w:ilvl w:val="1"/>
          <w:numId w:val="18"/>
        </w:numPr>
        <w:spacing w:before="120" w:after="0"/>
        <w:contextualSpacing w:val="0"/>
        <w:jc w:val="both"/>
      </w:pPr>
      <w:r>
        <w:t xml:space="preserve">Payment requests are </w:t>
      </w:r>
      <w:r w:rsidR="006B5E3B">
        <w:t>reviewed and either approved or rejected:</w:t>
      </w:r>
    </w:p>
    <w:p w14:paraId="26D7FFA4" w14:textId="77777777" w:rsidR="006B5E3B" w:rsidRDefault="006B5E3B" w:rsidP="00107A9A">
      <w:pPr>
        <w:pStyle w:val="ListParagraph"/>
        <w:numPr>
          <w:ilvl w:val="2"/>
          <w:numId w:val="13"/>
        </w:numPr>
        <w:spacing w:before="120" w:after="0"/>
        <w:contextualSpacing w:val="0"/>
        <w:jc w:val="both"/>
      </w:pPr>
      <w:r>
        <w:t>If rejected, requests are returned to the submitter with directions for correction and resubmission.</w:t>
      </w:r>
    </w:p>
    <w:p w14:paraId="47770075" w14:textId="77777777" w:rsidR="006B5E3B" w:rsidRDefault="006B5E3B" w:rsidP="00107A9A">
      <w:pPr>
        <w:pStyle w:val="ListParagraph"/>
        <w:numPr>
          <w:ilvl w:val="2"/>
          <w:numId w:val="13"/>
        </w:numPr>
        <w:spacing w:before="120" w:after="0"/>
        <w:contextualSpacing w:val="0"/>
        <w:jc w:val="both"/>
      </w:pPr>
      <w:r>
        <w:t>If approved, requests are sent for payment.</w:t>
      </w:r>
    </w:p>
    <w:p w14:paraId="3B596617" w14:textId="77777777" w:rsidR="00423786" w:rsidRDefault="00FF4AB1" w:rsidP="00107A9A">
      <w:pPr>
        <w:pStyle w:val="ListParagraph"/>
        <w:numPr>
          <w:ilvl w:val="1"/>
          <w:numId w:val="18"/>
        </w:numPr>
        <w:spacing w:before="120" w:after="0"/>
        <w:contextualSpacing w:val="0"/>
        <w:jc w:val="both"/>
      </w:pPr>
      <w:r>
        <w:t xml:space="preserve">Payments processed.  </w:t>
      </w:r>
    </w:p>
    <w:p w14:paraId="6FAE552C" w14:textId="77777777" w:rsidR="00423786" w:rsidRDefault="00423786" w:rsidP="00107A9A">
      <w:pPr>
        <w:pStyle w:val="ListParagraph"/>
        <w:numPr>
          <w:ilvl w:val="2"/>
          <w:numId w:val="13"/>
        </w:numPr>
        <w:spacing w:before="120" w:after="0"/>
        <w:contextualSpacing w:val="0"/>
        <w:jc w:val="both"/>
      </w:pPr>
      <w:r>
        <w:t>Event r</w:t>
      </w:r>
      <w:r w:rsidR="00FF4AB1">
        <w:t>egistration</w:t>
      </w:r>
      <w:r>
        <w:t xml:space="preserve"> refunds:  returned </w:t>
      </w:r>
      <w:r w:rsidR="00FF4AB1">
        <w:t xml:space="preserve">to the credit card used for </w:t>
      </w:r>
      <w:r>
        <w:t>payment</w:t>
      </w:r>
    </w:p>
    <w:p w14:paraId="0E066A81" w14:textId="77777777" w:rsidR="00423786" w:rsidRDefault="00496E5C" w:rsidP="00107A9A">
      <w:pPr>
        <w:pStyle w:val="ListParagraph"/>
        <w:numPr>
          <w:ilvl w:val="2"/>
          <w:numId w:val="13"/>
        </w:numPr>
        <w:spacing w:before="120" w:after="0"/>
        <w:contextualSpacing w:val="0"/>
        <w:jc w:val="both"/>
      </w:pPr>
      <w:r>
        <w:t>Miscellaneous</w:t>
      </w:r>
      <w:r w:rsidR="00423786">
        <w:t xml:space="preserve"> expense reimbursements:  check issued to payee.  Payment authorization </w:t>
      </w:r>
      <w:r>
        <w:t xml:space="preserve">occurs </w:t>
      </w:r>
      <w:r w:rsidR="00423786">
        <w:t>NLT 1/</w:t>
      </w:r>
      <w:proofErr w:type="spellStart"/>
      <w:r w:rsidR="00423786">
        <w:t>mo</w:t>
      </w:r>
      <w:proofErr w:type="spellEnd"/>
      <w:r w:rsidR="00423786">
        <w:t xml:space="preserve"> (BOD </w:t>
      </w:r>
      <w:proofErr w:type="spellStart"/>
      <w:r w:rsidR="00423786">
        <w:t>Mtg</w:t>
      </w:r>
      <w:proofErr w:type="spellEnd"/>
      <w:r w:rsidR="00423786">
        <w:t>) or as coordinated in advance.</w:t>
      </w:r>
    </w:p>
    <w:p w14:paraId="27309189" w14:textId="77777777" w:rsidR="00423786" w:rsidRDefault="00423786" w:rsidP="00107A9A">
      <w:pPr>
        <w:pStyle w:val="ListParagraph"/>
        <w:numPr>
          <w:ilvl w:val="2"/>
          <w:numId w:val="13"/>
        </w:numPr>
        <w:spacing w:before="120" w:after="0"/>
        <w:contextualSpacing w:val="0"/>
        <w:jc w:val="both"/>
      </w:pPr>
      <w:r>
        <w:t>Other:  as coordinated with Treasury Team in advance.</w:t>
      </w:r>
    </w:p>
    <w:p w14:paraId="0D4BF0DE" w14:textId="77777777" w:rsidR="00810DC0" w:rsidRDefault="00D70824" w:rsidP="00107A9A">
      <w:pPr>
        <w:pStyle w:val="Heading2"/>
        <w:numPr>
          <w:ilvl w:val="1"/>
          <w:numId w:val="12"/>
        </w:numPr>
        <w:ind w:left="1080"/>
        <w:jc w:val="both"/>
        <w:rPr>
          <w:b w:val="0"/>
          <w:sz w:val="24"/>
          <w:u w:val="none"/>
        </w:rPr>
      </w:pPr>
      <w:r>
        <w:rPr>
          <w:b w:val="0"/>
          <w:sz w:val="24"/>
          <w:u w:val="none"/>
        </w:rPr>
        <w:t>Submission Requirements</w:t>
      </w:r>
    </w:p>
    <w:p w14:paraId="35641BB0" w14:textId="77777777" w:rsidR="007370FF" w:rsidRDefault="00423786" w:rsidP="00107A9A">
      <w:pPr>
        <w:pStyle w:val="ListParagraph"/>
        <w:numPr>
          <w:ilvl w:val="0"/>
          <w:numId w:val="13"/>
        </w:numPr>
        <w:spacing w:before="120" w:after="0"/>
        <w:ind w:left="1530"/>
        <w:contextualSpacing w:val="0"/>
        <w:jc w:val="both"/>
      </w:pPr>
      <w:r>
        <w:t xml:space="preserve">All payment requests must correspond to a documented event or allocation within the group’s approved </w:t>
      </w:r>
      <w:r w:rsidR="001547E5">
        <w:t xml:space="preserve">annual </w:t>
      </w:r>
      <w:r>
        <w:t>budget</w:t>
      </w:r>
      <w:r w:rsidR="001547E5">
        <w:t>.</w:t>
      </w:r>
    </w:p>
    <w:p w14:paraId="5C86FAC3" w14:textId="77777777" w:rsidR="00423786" w:rsidRDefault="001547E5" w:rsidP="00107A9A">
      <w:pPr>
        <w:pStyle w:val="ListParagraph"/>
        <w:numPr>
          <w:ilvl w:val="1"/>
          <w:numId w:val="13"/>
        </w:numPr>
        <w:spacing w:before="120" w:after="0"/>
        <w:contextualSpacing w:val="0"/>
        <w:jc w:val="both"/>
      </w:pPr>
      <w:r>
        <w:t>Expenditures</w:t>
      </w:r>
      <w:r w:rsidR="005D0BC6">
        <w:t xml:space="preserve"> falling outside of an approved budget require </w:t>
      </w:r>
      <w:r>
        <w:t>interim</w:t>
      </w:r>
      <w:r w:rsidR="005D0BC6">
        <w:t xml:space="preserve"> approval from the </w:t>
      </w:r>
      <w:r>
        <w:t>Board of Directors and are subjection to rejection otherwise.</w:t>
      </w:r>
    </w:p>
    <w:p w14:paraId="414F0426" w14:textId="77777777" w:rsidR="001547E5" w:rsidRDefault="001547E5" w:rsidP="00107A9A">
      <w:pPr>
        <w:pStyle w:val="ListParagraph"/>
        <w:numPr>
          <w:ilvl w:val="0"/>
          <w:numId w:val="13"/>
        </w:numPr>
        <w:spacing w:before="120" w:after="0"/>
        <w:ind w:left="1530"/>
        <w:contextualSpacing w:val="0"/>
        <w:jc w:val="both"/>
      </w:pPr>
      <w:r>
        <w:t xml:space="preserve">SPEGCS is a registered 501c </w:t>
      </w:r>
      <w:r w:rsidR="00496E5C">
        <w:t>(Nor-For-Pro</w:t>
      </w:r>
      <w:r>
        <w:t>fit</w:t>
      </w:r>
      <w:r w:rsidR="00496E5C">
        <w:t>)</w:t>
      </w:r>
      <w:r>
        <w:t xml:space="preserve"> organization and is </w:t>
      </w:r>
      <w:r w:rsidR="00496E5C">
        <w:t xml:space="preserve">therefore </w:t>
      </w:r>
      <w:r>
        <w:t>exempt from Sales Tax charges.  Group Treasurers are responsible for arranging appropriate Sales Tax exemptions with their respective vendors.</w:t>
      </w:r>
      <w:r w:rsidR="00496E5C">
        <w:t xml:space="preserve">  Reimbursements are subject to removal of Sales Tax charges</w:t>
      </w:r>
      <w:r w:rsidR="00D8745E">
        <w:t xml:space="preserve"> if significant</w:t>
      </w:r>
      <w:r w:rsidR="00496E5C">
        <w:t>.</w:t>
      </w:r>
    </w:p>
    <w:p w14:paraId="0F5F0292" w14:textId="56C13C25" w:rsidR="00496E5C" w:rsidRDefault="00496E5C" w:rsidP="00107A9A">
      <w:pPr>
        <w:pStyle w:val="ListParagraph"/>
        <w:numPr>
          <w:ilvl w:val="0"/>
          <w:numId w:val="13"/>
        </w:numPr>
        <w:spacing w:before="120" w:after="0"/>
        <w:ind w:left="1530"/>
        <w:contextualSpacing w:val="0"/>
        <w:jc w:val="both"/>
      </w:pPr>
      <w:r>
        <w:t>E</w:t>
      </w:r>
      <w:r w:rsidR="001547E5">
        <w:t xml:space="preserve">xpense reimbursements require </w:t>
      </w:r>
      <w:r>
        <w:t>documented proof of purchase (</w:t>
      </w:r>
      <w:r w:rsidR="00107A9A">
        <w:t>detailed</w:t>
      </w:r>
      <w:r>
        <w:t xml:space="preserve"> receipt</w:t>
      </w:r>
      <w:r w:rsidR="00107A9A">
        <w:t xml:space="preserve"> or </w:t>
      </w:r>
      <w:r>
        <w:t>invoice, etc.) in addition to payee name and mailing address.</w:t>
      </w:r>
    </w:p>
    <w:p w14:paraId="4AF24992" w14:textId="39E784E0" w:rsidR="001547E5" w:rsidRDefault="00496E5C" w:rsidP="00107A9A">
      <w:pPr>
        <w:pStyle w:val="ListParagraph"/>
        <w:numPr>
          <w:ilvl w:val="0"/>
          <w:numId w:val="13"/>
        </w:numPr>
        <w:spacing w:before="120" w:after="0"/>
        <w:ind w:left="1530"/>
        <w:contextualSpacing w:val="0"/>
        <w:jc w:val="both"/>
      </w:pPr>
      <w:r>
        <w:t>Non-reimbursement payments (Scholarship</w:t>
      </w:r>
      <w:r w:rsidR="00107A9A">
        <w:t>s</w:t>
      </w:r>
      <w:r>
        <w:t>, Donation</w:t>
      </w:r>
      <w:r w:rsidR="00107A9A">
        <w:t>s</w:t>
      </w:r>
      <w:r>
        <w:t xml:space="preserve">, etc.) also require </w:t>
      </w:r>
      <w:r w:rsidR="00D8745E">
        <w:t>Nexonia</w:t>
      </w:r>
      <w:r>
        <w:t xml:space="preserve"> submission, includ</w:t>
      </w:r>
      <w:r w:rsidR="00020E9E">
        <w:t>ing</w:t>
      </w:r>
      <w:r>
        <w:t xml:space="preserve"> confirmation of budget approval and payee details.   </w:t>
      </w:r>
    </w:p>
    <w:p w14:paraId="4BFD3829" w14:textId="77777777" w:rsidR="006A32D3" w:rsidRDefault="006A32D3" w:rsidP="00107A9A">
      <w:pPr>
        <w:jc w:val="both"/>
        <w:rPr>
          <w:rFonts w:asciiTheme="majorHAnsi" w:hAnsiTheme="majorHAnsi"/>
          <w:b/>
          <w:color w:val="4472C4" w:themeColor="accent5"/>
          <w:sz w:val="32"/>
        </w:rPr>
      </w:pPr>
    </w:p>
    <w:p w14:paraId="4C6059BB" w14:textId="77777777" w:rsidR="006A32D3" w:rsidRDefault="00D70824" w:rsidP="00107A9A">
      <w:pPr>
        <w:pStyle w:val="Heading2"/>
        <w:numPr>
          <w:ilvl w:val="0"/>
          <w:numId w:val="9"/>
        </w:numPr>
        <w:ind w:left="720"/>
        <w:jc w:val="both"/>
      </w:pPr>
      <w:r>
        <w:lastRenderedPageBreak/>
        <w:t>Nexonia How-To</w:t>
      </w:r>
      <w:r w:rsidR="006A32D3" w:rsidRPr="00F10718">
        <w:t>:</w:t>
      </w:r>
    </w:p>
    <w:p w14:paraId="275F36CC" w14:textId="77777777" w:rsidR="004476CF" w:rsidRPr="004476CF" w:rsidRDefault="004476CF" w:rsidP="00107A9A">
      <w:pPr>
        <w:pStyle w:val="Heading3"/>
        <w:jc w:val="both"/>
      </w:pPr>
      <w:r w:rsidRPr="004476CF">
        <w:t>Add a Report</w:t>
      </w:r>
    </w:p>
    <w:p w14:paraId="0AC5FE1D" w14:textId="77777777" w:rsidR="00105F55" w:rsidRPr="00105F55" w:rsidRDefault="006A32D3" w:rsidP="00107A9A">
      <w:pPr>
        <w:pStyle w:val="ListParagraph"/>
        <w:numPr>
          <w:ilvl w:val="0"/>
          <w:numId w:val="14"/>
        </w:numPr>
        <w:spacing w:before="120" w:after="0"/>
        <w:ind w:left="1440"/>
        <w:contextualSpacing w:val="0"/>
        <w:jc w:val="both"/>
        <w:rPr>
          <w:rStyle w:val="Hyperlink"/>
          <w:color w:val="auto"/>
          <w:u w:val="none"/>
        </w:rPr>
      </w:pPr>
      <w:r>
        <w:t xml:space="preserve">Log in to </w:t>
      </w:r>
      <w:hyperlink r:id="rId7" w:history="1">
        <w:r w:rsidR="00105F55" w:rsidRPr="002D748C">
          <w:rPr>
            <w:rStyle w:val="Hyperlink"/>
          </w:rPr>
          <w:t>https://system.nexonia.com/assistant/signin</w:t>
        </w:r>
      </w:hyperlink>
      <w:r w:rsidR="00105F55">
        <w:rPr>
          <w:rStyle w:val="Hyperlink"/>
        </w:rPr>
        <w:t>.</w:t>
      </w:r>
    </w:p>
    <w:p w14:paraId="68B25561" w14:textId="77777777" w:rsidR="0006284B" w:rsidRPr="0006284B" w:rsidRDefault="00105F55" w:rsidP="00107A9A">
      <w:pPr>
        <w:pStyle w:val="ListParagraph"/>
        <w:numPr>
          <w:ilvl w:val="2"/>
          <w:numId w:val="14"/>
        </w:numPr>
        <w:spacing w:before="120" w:after="0"/>
        <w:contextualSpacing w:val="0"/>
        <w:jc w:val="both"/>
        <w:rPr>
          <w:rStyle w:val="Hyperlink"/>
          <w:color w:val="auto"/>
          <w:u w:val="none"/>
        </w:rPr>
      </w:pPr>
      <w:r>
        <w:t>Alternately, the Nexonia mobile app can be downloaded and used.</w:t>
      </w:r>
      <w:r w:rsidR="0006284B" w:rsidRPr="0006284B">
        <w:rPr>
          <w:rStyle w:val="Hyperlink"/>
        </w:rPr>
        <w:t xml:space="preserve"> </w:t>
      </w:r>
    </w:p>
    <w:p w14:paraId="1C8268F2" w14:textId="77777777" w:rsidR="00543903" w:rsidRDefault="00543903" w:rsidP="00107A9A">
      <w:pPr>
        <w:pStyle w:val="ListParagraph"/>
        <w:numPr>
          <w:ilvl w:val="0"/>
          <w:numId w:val="14"/>
        </w:numPr>
        <w:spacing w:before="120" w:after="0"/>
        <w:ind w:left="1440"/>
        <w:contextualSpacing w:val="0"/>
        <w:jc w:val="both"/>
      </w:pPr>
      <w:r>
        <w:t xml:space="preserve">Click </w:t>
      </w:r>
      <w:r>
        <w:rPr>
          <w:i/>
          <w:u w:val="single"/>
        </w:rPr>
        <w:t>Add Repor</w:t>
      </w:r>
      <w:r w:rsidRPr="00543903">
        <w:rPr>
          <w:i/>
          <w:u w:val="single"/>
        </w:rPr>
        <w:t>t</w:t>
      </w:r>
      <w:r w:rsidR="006A32D3" w:rsidRPr="004476CF">
        <w:t>.</w:t>
      </w:r>
      <w:r>
        <w:t xml:space="preserve">  </w:t>
      </w:r>
    </w:p>
    <w:p w14:paraId="5200C54F" w14:textId="77777777" w:rsidR="00CB4840" w:rsidRDefault="00543903" w:rsidP="00107A9A">
      <w:pPr>
        <w:pStyle w:val="ListParagraph"/>
        <w:numPr>
          <w:ilvl w:val="2"/>
          <w:numId w:val="14"/>
        </w:numPr>
        <w:spacing w:before="120" w:after="0"/>
        <w:contextualSpacing w:val="0"/>
        <w:jc w:val="both"/>
      </w:pPr>
      <w:r>
        <w:t>Select the appropriate Group under Employee</w:t>
      </w:r>
    </w:p>
    <w:p w14:paraId="029E46CA" w14:textId="77777777" w:rsidR="00543903" w:rsidRDefault="00543903" w:rsidP="00107A9A">
      <w:pPr>
        <w:pStyle w:val="ListParagraph"/>
        <w:numPr>
          <w:ilvl w:val="2"/>
          <w:numId w:val="14"/>
        </w:numPr>
        <w:spacing w:before="120" w:after="0"/>
        <w:contextualSpacing w:val="0"/>
        <w:jc w:val="both"/>
      </w:pPr>
      <w:r>
        <w:t>Add an appropriately descriptive title.  If the report relates to a Group event, a direct copy/paste of the event title as listed in the spegcs.org calendar is ideal.</w:t>
      </w:r>
    </w:p>
    <w:p w14:paraId="0D0E53C1" w14:textId="77777777" w:rsidR="00543903" w:rsidRDefault="00543903" w:rsidP="00107A9A">
      <w:pPr>
        <w:pStyle w:val="ListParagraph"/>
        <w:numPr>
          <w:ilvl w:val="2"/>
          <w:numId w:val="14"/>
        </w:numPr>
        <w:spacing w:before="120" w:after="0"/>
        <w:contextualSpacing w:val="0"/>
        <w:jc w:val="both"/>
      </w:pPr>
      <w:r>
        <w:t xml:space="preserve">When complete, click </w:t>
      </w:r>
      <w:r w:rsidRPr="00543903">
        <w:rPr>
          <w:i/>
          <w:u w:val="single"/>
        </w:rPr>
        <w:t>Save</w:t>
      </w:r>
      <w:r>
        <w:t>.</w:t>
      </w:r>
    </w:p>
    <w:p w14:paraId="79AFD892" w14:textId="77777777" w:rsidR="00543903" w:rsidRDefault="00543903" w:rsidP="00107A9A">
      <w:pPr>
        <w:spacing w:before="120" w:after="0"/>
        <w:ind w:left="1800"/>
        <w:jc w:val="both"/>
      </w:pPr>
      <w:r w:rsidRPr="004476CF">
        <w:rPr>
          <w:noProof/>
        </w:rPr>
        <w:drawing>
          <wp:inline distT="0" distB="0" distL="0" distR="0" wp14:anchorId="7D537ED4" wp14:editId="6A60D5E1">
            <wp:extent cx="4572000" cy="25877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587752"/>
                    </a:xfrm>
                    <a:prstGeom prst="rect">
                      <a:avLst/>
                    </a:prstGeom>
                  </pic:spPr>
                </pic:pic>
              </a:graphicData>
            </a:graphic>
          </wp:inline>
        </w:drawing>
      </w:r>
    </w:p>
    <w:p w14:paraId="6A14587B" w14:textId="77777777" w:rsidR="00543903" w:rsidRDefault="00543903" w:rsidP="00107A9A">
      <w:pPr>
        <w:pStyle w:val="ListParagraph"/>
        <w:numPr>
          <w:ilvl w:val="2"/>
          <w:numId w:val="14"/>
        </w:numPr>
        <w:spacing w:before="120" w:after="0"/>
        <w:contextualSpacing w:val="0"/>
        <w:jc w:val="both"/>
      </w:pPr>
      <w:r>
        <w:t>The report will be saved with a unique Code number that can be used in any needed follow up.</w:t>
      </w:r>
    </w:p>
    <w:p w14:paraId="2993568E" w14:textId="01E16403" w:rsidR="00543903" w:rsidRPr="00107A9A" w:rsidRDefault="00202A65" w:rsidP="00107A9A">
      <w:pPr>
        <w:pStyle w:val="ListParagraph"/>
        <w:numPr>
          <w:ilvl w:val="2"/>
          <w:numId w:val="14"/>
        </w:numPr>
        <w:spacing w:before="120" w:after="0"/>
        <w:contextualSpacing w:val="0"/>
        <w:jc w:val="both"/>
      </w:pPr>
      <w:r w:rsidRPr="00107A9A">
        <w:t xml:space="preserve">Nexonia reports are </w:t>
      </w:r>
      <w:r w:rsidR="00105F55" w:rsidRPr="00107A9A">
        <w:t xml:space="preserve">intended </w:t>
      </w:r>
      <w:r w:rsidRPr="00107A9A">
        <w:t>to be payee-specific.  If a payee is being reimbursed for more than one expense, these can be included as multiple expense items within the same report.  Existing reports can be duplicated, reducing the data entry requirement</w:t>
      </w:r>
      <w:r w:rsidR="00105F55" w:rsidRPr="00107A9A">
        <w:t xml:space="preserve"> if more than one payee requires reimbursement</w:t>
      </w:r>
      <w:r w:rsidRPr="00107A9A">
        <w:t xml:space="preserve">. </w:t>
      </w:r>
      <w:r w:rsidR="00CD2A0C" w:rsidRPr="00107A9A">
        <w:t xml:space="preserve"> </w:t>
      </w:r>
    </w:p>
    <w:p w14:paraId="5CEF7B7A" w14:textId="77777777" w:rsidR="00107A9A" w:rsidRDefault="00107A9A" w:rsidP="00107A9A">
      <w:pPr>
        <w:spacing w:before="0" w:after="160" w:line="259" w:lineRule="auto"/>
        <w:jc w:val="both"/>
      </w:pPr>
      <w:r>
        <w:br w:type="page"/>
      </w:r>
    </w:p>
    <w:p w14:paraId="146C4055" w14:textId="3CDF488F" w:rsidR="00543903" w:rsidRDefault="00543903" w:rsidP="00107A9A">
      <w:pPr>
        <w:pStyle w:val="ListParagraph"/>
        <w:numPr>
          <w:ilvl w:val="0"/>
          <w:numId w:val="14"/>
        </w:numPr>
        <w:spacing w:before="120" w:after="0"/>
        <w:ind w:left="1440"/>
        <w:contextualSpacing w:val="0"/>
        <w:jc w:val="both"/>
      </w:pPr>
      <w:r>
        <w:lastRenderedPageBreak/>
        <w:t xml:space="preserve">Click </w:t>
      </w:r>
      <w:r>
        <w:rPr>
          <w:i/>
          <w:u w:val="single"/>
        </w:rPr>
        <w:t xml:space="preserve">Add </w:t>
      </w:r>
      <w:r w:rsidR="00202A65">
        <w:rPr>
          <w:i/>
          <w:u w:val="single"/>
        </w:rPr>
        <w:t>Expense Item</w:t>
      </w:r>
      <w:r w:rsidRPr="004476CF">
        <w:t>.</w:t>
      </w:r>
      <w:r>
        <w:t xml:space="preserve">  </w:t>
      </w:r>
    </w:p>
    <w:p w14:paraId="17ECBFF1" w14:textId="77777777" w:rsidR="00105F55" w:rsidRDefault="00105F55" w:rsidP="00107A9A">
      <w:pPr>
        <w:spacing w:before="120" w:after="0"/>
        <w:ind w:left="1800"/>
        <w:jc w:val="both"/>
      </w:pPr>
      <w:r>
        <w:rPr>
          <w:noProof/>
        </w:rPr>
        <w:drawing>
          <wp:inline distT="0" distB="0" distL="0" distR="0" wp14:anchorId="2B3EFFB2" wp14:editId="1FF9FB6C">
            <wp:extent cx="4572000" cy="25328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0" cy="2532888"/>
                    </a:xfrm>
                    <a:prstGeom prst="rect">
                      <a:avLst/>
                    </a:prstGeom>
                  </pic:spPr>
                </pic:pic>
              </a:graphicData>
            </a:graphic>
          </wp:inline>
        </w:drawing>
      </w:r>
    </w:p>
    <w:p w14:paraId="708C49D4" w14:textId="77777777" w:rsidR="006A32D3" w:rsidRDefault="00105F55" w:rsidP="00107A9A">
      <w:pPr>
        <w:pStyle w:val="ListParagraph"/>
        <w:numPr>
          <w:ilvl w:val="2"/>
          <w:numId w:val="14"/>
        </w:numPr>
        <w:spacing w:before="120" w:after="0"/>
        <w:contextualSpacing w:val="0"/>
        <w:jc w:val="both"/>
      </w:pPr>
      <w:r>
        <w:t xml:space="preserve">Select the appropriate </w:t>
      </w:r>
      <w:r w:rsidRPr="007B767D">
        <w:rPr>
          <w:i/>
        </w:rPr>
        <w:t>Category</w:t>
      </w:r>
      <w:r>
        <w:t xml:space="preserve">.  Once selected, choose the appropriate </w:t>
      </w:r>
      <w:r w:rsidRPr="007B767D">
        <w:rPr>
          <w:i/>
        </w:rPr>
        <w:t>Type</w:t>
      </w:r>
      <w:r>
        <w:t>.</w:t>
      </w:r>
    </w:p>
    <w:p w14:paraId="50F93C95" w14:textId="77777777" w:rsidR="00105F55" w:rsidRDefault="00105F55" w:rsidP="00107A9A">
      <w:pPr>
        <w:pStyle w:val="ListParagraph"/>
        <w:numPr>
          <w:ilvl w:val="2"/>
          <w:numId w:val="14"/>
        </w:numPr>
        <w:spacing w:before="120" w:after="0"/>
        <w:contextualSpacing w:val="0"/>
        <w:jc w:val="both"/>
      </w:pPr>
      <w:r>
        <w:t xml:space="preserve">Ensure </w:t>
      </w:r>
      <w:r w:rsidRPr="007B767D">
        <w:rPr>
          <w:i/>
        </w:rPr>
        <w:t>Transaction Date</w:t>
      </w:r>
      <w:r>
        <w:t xml:space="preserve"> reflects the date the charge was incurred.</w:t>
      </w:r>
    </w:p>
    <w:p w14:paraId="0495EFA2" w14:textId="77777777" w:rsidR="00105F55" w:rsidRDefault="00105F55" w:rsidP="00107A9A">
      <w:pPr>
        <w:pStyle w:val="ListParagraph"/>
        <w:numPr>
          <w:ilvl w:val="2"/>
          <w:numId w:val="14"/>
        </w:numPr>
        <w:spacing w:before="120" w:after="0"/>
        <w:contextualSpacing w:val="0"/>
        <w:jc w:val="both"/>
      </w:pPr>
      <w:r w:rsidRPr="007B767D">
        <w:rPr>
          <w:i/>
        </w:rPr>
        <w:t>Receipt</w:t>
      </w:r>
      <w:r>
        <w:t xml:space="preserve"> = Yes, </w:t>
      </w:r>
      <w:r w:rsidRPr="007B767D">
        <w:rPr>
          <w:i/>
        </w:rPr>
        <w:t>Paid By</w:t>
      </w:r>
      <w:r>
        <w:t xml:space="preserve"> = Employee</w:t>
      </w:r>
    </w:p>
    <w:p w14:paraId="0716C29E" w14:textId="77777777" w:rsidR="00105F55" w:rsidRDefault="00105F55" w:rsidP="00107A9A">
      <w:pPr>
        <w:pStyle w:val="ListParagraph"/>
        <w:numPr>
          <w:ilvl w:val="2"/>
          <w:numId w:val="14"/>
        </w:numPr>
        <w:spacing w:before="120" w:after="0"/>
        <w:contextualSpacing w:val="0"/>
        <w:jc w:val="both"/>
      </w:pPr>
      <w:r>
        <w:t xml:space="preserve">Ensure </w:t>
      </w:r>
      <w:r w:rsidRPr="007B767D">
        <w:rPr>
          <w:i/>
        </w:rPr>
        <w:t>Total</w:t>
      </w:r>
      <w:r>
        <w:t xml:space="preserve"> amount matches supporting documentation/receipts</w:t>
      </w:r>
    </w:p>
    <w:p w14:paraId="0F34D3AF" w14:textId="77777777" w:rsidR="00105F55" w:rsidRDefault="00105F55" w:rsidP="00107A9A">
      <w:pPr>
        <w:pStyle w:val="ListParagraph"/>
        <w:numPr>
          <w:ilvl w:val="2"/>
          <w:numId w:val="14"/>
        </w:numPr>
        <w:spacing w:before="120" w:after="0"/>
        <w:contextualSpacing w:val="0"/>
        <w:jc w:val="both"/>
      </w:pPr>
      <w:r>
        <w:t xml:space="preserve">Select the appropriate </w:t>
      </w:r>
      <w:r w:rsidRPr="007B767D">
        <w:rPr>
          <w:i/>
        </w:rPr>
        <w:t>Class</w:t>
      </w:r>
    </w:p>
    <w:p w14:paraId="78A9A176" w14:textId="77777777" w:rsidR="00105F55" w:rsidRDefault="00105F55" w:rsidP="00107A9A">
      <w:pPr>
        <w:pStyle w:val="ListParagraph"/>
        <w:numPr>
          <w:ilvl w:val="2"/>
          <w:numId w:val="14"/>
        </w:numPr>
        <w:spacing w:before="120" w:after="0"/>
        <w:contextualSpacing w:val="0"/>
        <w:jc w:val="both"/>
      </w:pPr>
      <w:r>
        <w:t xml:space="preserve">If related to an event, ensure </w:t>
      </w:r>
      <w:r w:rsidRPr="007B767D">
        <w:rPr>
          <w:i/>
        </w:rPr>
        <w:t>Event Number</w:t>
      </w:r>
      <w:r>
        <w:t xml:space="preserve"> matches that in the spegcs.org calendar.</w:t>
      </w:r>
    </w:p>
    <w:p w14:paraId="1EA4113F" w14:textId="77777777" w:rsidR="00105F55" w:rsidRDefault="00105F55" w:rsidP="00107A9A">
      <w:pPr>
        <w:pStyle w:val="ListParagraph"/>
        <w:numPr>
          <w:ilvl w:val="2"/>
          <w:numId w:val="14"/>
        </w:numPr>
        <w:spacing w:before="120" w:after="0"/>
        <w:contextualSpacing w:val="0"/>
        <w:jc w:val="both"/>
      </w:pPr>
      <w:r>
        <w:t xml:space="preserve">If applicable, ensure </w:t>
      </w:r>
      <w:r w:rsidRPr="007B767D">
        <w:rPr>
          <w:i/>
        </w:rPr>
        <w:t>Invoice Number</w:t>
      </w:r>
      <w:r>
        <w:t xml:space="preserve"> matches supporting documentation.</w:t>
      </w:r>
    </w:p>
    <w:p w14:paraId="17366E96" w14:textId="77777777" w:rsidR="00105F55" w:rsidRDefault="00105F55" w:rsidP="00107A9A">
      <w:pPr>
        <w:pStyle w:val="ListParagraph"/>
        <w:numPr>
          <w:ilvl w:val="2"/>
          <w:numId w:val="14"/>
        </w:numPr>
        <w:spacing w:before="120" w:after="0"/>
        <w:contextualSpacing w:val="0"/>
        <w:jc w:val="both"/>
      </w:pPr>
      <w:r w:rsidRPr="007B767D">
        <w:rPr>
          <w:i/>
        </w:rPr>
        <w:t>Payee Address</w:t>
      </w:r>
      <w:r>
        <w:t xml:space="preserve"> is required for all reimbursements </w:t>
      </w:r>
      <w:r w:rsidRPr="00105F55">
        <w:rPr>
          <w:i/>
        </w:rPr>
        <w:t>except</w:t>
      </w:r>
      <w:r>
        <w:t xml:space="preserve"> website event registration refunds.  </w:t>
      </w:r>
      <w:r w:rsidRPr="007B767D">
        <w:rPr>
          <w:i/>
        </w:rPr>
        <w:t>Payee Name</w:t>
      </w:r>
      <w:r>
        <w:t xml:space="preserve"> is required for all reimbursements.</w:t>
      </w:r>
    </w:p>
    <w:p w14:paraId="1E3D3C06" w14:textId="77777777" w:rsidR="007B767D" w:rsidRDefault="00975BB6" w:rsidP="00107A9A">
      <w:pPr>
        <w:pStyle w:val="ListParagraph"/>
        <w:numPr>
          <w:ilvl w:val="2"/>
          <w:numId w:val="14"/>
        </w:numPr>
        <w:spacing w:before="120" w:after="0"/>
        <w:contextualSpacing w:val="0"/>
        <w:jc w:val="both"/>
      </w:pPr>
      <w:r>
        <w:t>Use Add Receipts to include supporting documentation as file attachment, email, or photo.  All documentation must be complete and legible.</w:t>
      </w:r>
    </w:p>
    <w:p w14:paraId="2E346941" w14:textId="77777777" w:rsidR="00975BB6" w:rsidRDefault="00975BB6" w:rsidP="00107A9A">
      <w:pPr>
        <w:pStyle w:val="ListParagraph"/>
        <w:numPr>
          <w:ilvl w:val="2"/>
          <w:numId w:val="14"/>
        </w:numPr>
        <w:spacing w:before="120" w:after="0"/>
        <w:contextualSpacing w:val="0"/>
        <w:jc w:val="both"/>
      </w:pPr>
      <w:r>
        <w:t xml:space="preserve">When complete, </w:t>
      </w:r>
      <w:r w:rsidRPr="00975BB6">
        <w:rPr>
          <w:i/>
        </w:rPr>
        <w:t>Save and Close</w:t>
      </w:r>
      <w:r>
        <w:t>.</w:t>
      </w:r>
    </w:p>
    <w:p w14:paraId="2E0C162D" w14:textId="77777777" w:rsidR="00107A9A" w:rsidRDefault="00107A9A" w:rsidP="00107A9A">
      <w:pPr>
        <w:spacing w:before="0" w:after="160" w:line="259" w:lineRule="auto"/>
        <w:jc w:val="both"/>
      </w:pPr>
      <w:r>
        <w:br w:type="page"/>
      </w:r>
    </w:p>
    <w:p w14:paraId="2BB6A97F" w14:textId="542F1A2D" w:rsidR="00975BB6" w:rsidRDefault="00975BB6" w:rsidP="00107A9A">
      <w:pPr>
        <w:pStyle w:val="ListParagraph"/>
        <w:numPr>
          <w:ilvl w:val="0"/>
          <w:numId w:val="14"/>
        </w:numPr>
        <w:spacing w:before="120" w:after="0"/>
        <w:ind w:left="1440"/>
        <w:contextualSpacing w:val="0"/>
        <w:jc w:val="both"/>
      </w:pPr>
      <w:r>
        <w:lastRenderedPageBreak/>
        <w:t xml:space="preserve">When all necessary Expense Items have been completed for the Report, </w:t>
      </w:r>
      <w:r w:rsidRPr="00975BB6">
        <w:rPr>
          <w:i/>
          <w:u w:val="single"/>
        </w:rPr>
        <w:t>Submit</w:t>
      </w:r>
      <w:r>
        <w:t>.</w:t>
      </w:r>
    </w:p>
    <w:p w14:paraId="19914089" w14:textId="77777777" w:rsidR="00975BB6" w:rsidRDefault="00975BB6" w:rsidP="00107A9A">
      <w:pPr>
        <w:spacing w:before="120" w:after="0"/>
        <w:ind w:left="1080"/>
        <w:jc w:val="both"/>
      </w:pPr>
      <w:r>
        <w:rPr>
          <w:noProof/>
        </w:rPr>
        <w:drawing>
          <wp:inline distT="0" distB="0" distL="0" distR="0" wp14:anchorId="0DF96CF6" wp14:editId="20BB906B">
            <wp:extent cx="4572000" cy="1682496"/>
            <wp:effectExtent l="19050" t="19050" r="1905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1682496"/>
                    </a:xfrm>
                    <a:prstGeom prst="rect">
                      <a:avLst/>
                    </a:prstGeom>
                    <a:ln>
                      <a:solidFill>
                        <a:schemeClr val="tx1"/>
                      </a:solidFill>
                    </a:ln>
                  </pic:spPr>
                </pic:pic>
              </a:graphicData>
            </a:graphic>
          </wp:inline>
        </w:drawing>
      </w:r>
    </w:p>
    <w:p w14:paraId="7465819C" w14:textId="77777777" w:rsidR="004E5DC2" w:rsidRDefault="004E5DC2" w:rsidP="00107A9A">
      <w:pPr>
        <w:pStyle w:val="Heading3"/>
        <w:jc w:val="both"/>
      </w:pPr>
      <w:r>
        <w:t>Check Report Status</w:t>
      </w:r>
    </w:p>
    <w:p w14:paraId="752A4690" w14:textId="77777777" w:rsidR="004E5DC2" w:rsidRDefault="004E5DC2" w:rsidP="00107A9A">
      <w:pPr>
        <w:pStyle w:val="ListParagraph"/>
        <w:numPr>
          <w:ilvl w:val="0"/>
          <w:numId w:val="14"/>
        </w:numPr>
        <w:spacing w:before="120" w:after="0"/>
        <w:ind w:left="1440"/>
        <w:contextualSpacing w:val="0"/>
        <w:jc w:val="both"/>
      </w:pPr>
      <w:r>
        <w:t xml:space="preserve">From the Nexonia Expenses page, view the </w:t>
      </w:r>
      <w:r w:rsidRPr="004E5DC2">
        <w:rPr>
          <w:i/>
        </w:rPr>
        <w:t>Paid</w:t>
      </w:r>
      <w:r>
        <w:t xml:space="preserve"> and </w:t>
      </w:r>
      <w:r w:rsidRPr="004E5DC2">
        <w:rPr>
          <w:i/>
        </w:rPr>
        <w:t>Paid Date</w:t>
      </w:r>
      <w:r>
        <w:t xml:space="preserve"> columns.  These fields are updated when checks are issued for the report.</w:t>
      </w:r>
    </w:p>
    <w:p w14:paraId="71E1FD1E" w14:textId="77777777" w:rsidR="004E5DC2" w:rsidRPr="004E5DC2" w:rsidRDefault="004E5DC2" w:rsidP="00107A9A">
      <w:pPr>
        <w:ind w:left="1080"/>
        <w:jc w:val="both"/>
      </w:pPr>
      <w:r>
        <w:rPr>
          <w:noProof/>
        </w:rPr>
        <w:drawing>
          <wp:inline distT="0" distB="0" distL="0" distR="0" wp14:anchorId="0A1A60E5" wp14:editId="56A02B11">
            <wp:extent cx="4572000" cy="978408"/>
            <wp:effectExtent l="19050" t="19050" r="1905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978408"/>
                    </a:xfrm>
                    <a:prstGeom prst="rect">
                      <a:avLst/>
                    </a:prstGeom>
                    <a:ln>
                      <a:solidFill>
                        <a:schemeClr val="tx1"/>
                      </a:solidFill>
                    </a:ln>
                  </pic:spPr>
                </pic:pic>
              </a:graphicData>
            </a:graphic>
          </wp:inline>
        </w:drawing>
      </w:r>
    </w:p>
    <w:p w14:paraId="05B85D04" w14:textId="77777777" w:rsidR="00975BB6" w:rsidRDefault="004E5DC2" w:rsidP="00107A9A">
      <w:pPr>
        <w:pStyle w:val="Heading3"/>
        <w:jc w:val="both"/>
      </w:pPr>
      <w:r>
        <w:t>D</w:t>
      </w:r>
      <w:r w:rsidR="00975BB6">
        <w:t xml:space="preserve">uplicate </w:t>
      </w:r>
      <w:r w:rsidR="00975BB6" w:rsidRPr="00975BB6">
        <w:t>a Report</w:t>
      </w:r>
    </w:p>
    <w:p w14:paraId="0CD51256" w14:textId="77777777" w:rsidR="00975BB6" w:rsidRDefault="00975BB6" w:rsidP="00107A9A">
      <w:pPr>
        <w:pStyle w:val="ListParagraph"/>
        <w:numPr>
          <w:ilvl w:val="0"/>
          <w:numId w:val="14"/>
        </w:numPr>
        <w:spacing w:before="120" w:after="0"/>
        <w:ind w:left="1440"/>
        <w:contextualSpacing w:val="0"/>
        <w:jc w:val="both"/>
      </w:pPr>
      <w:r>
        <w:t xml:space="preserve">From the Nexonia Expenses page, select the appropriate Report.  Click on </w:t>
      </w:r>
      <w:r w:rsidRPr="00975BB6">
        <w:rPr>
          <w:i/>
        </w:rPr>
        <w:t>Action</w:t>
      </w:r>
      <w:r>
        <w:t xml:space="preserve"> to display the list of additional functions.</w:t>
      </w:r>
    </w:p>
    <w:p w14:paraId="652D2357" w14:textId="77777777" w:rsidR="00975BB6" w:rsidRDefault="00975BB6" w:rsidP="00107A9A">
      <w:pPr>
        <w:spacing w:before="120" w:after="0"/>
        <w:ind w:left="1080"/>
        <w:jc w:val="both"/>
      </w:pPr>
      <w:r>
        <w:rPr>
          <w:noProof/>
        </w:rPr>
        <w:drawing>
          <wp:inline distT="0" distB="0" distL="0" distR="0" wp14:anchorId="7B5A3D75" wp14:editId="59A10EFB">
            <wp:extent cx="4572000" cy="1883664"/>
            <wp:effectExtent l="19050" t="19050" r="1905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3468" b="13376"/>
                    <a:stretch/>
                  </pic:blipFill>
                  <pic:spPr bwMode="auto">
                    <a:xfrm>
                      <a:off x="0" y="0"/>
                      <a:ext cx="4572000" cy="18836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FB19FFE" w14:textId="77777777" w:rsidR="004E5DC2" w:rsidRPr="006A32D3" w:rsidRDefault="004E5DC2" w:rsidP="00107A9A">
      <w:pPr>
        <w:spacing w:before="120" w:after="0"/>
        <w:ind w:left="1080"/>
        <w:jc w:val="both"/>
      </w:pPr>
    </w:p>
    <w:sectPr w:rsidR="004E5DC2" w:rsidRPr="006A3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0AD"/>
    <w:multiLevelType w:val="hybridMultilevel"/>
    <w:tmpl w:val="0A5A8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9AB"/>
    <w:multiLevelType w:val="hybridMultilevel"/>
    <w:tmpl w:val="BFF238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E9569A"/>
    <w:multiLevelType w:val="hybridMultilevel"/>
    <w:tmpl w:val="1D349BC4"/>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4C12E2"/>
    <w:multiLevelType w:val="hybridMultilevel"/>
    <w:tmpl w:val="4CB2BDE0"/>
    <w:lvl w:ilvl="0" w:tplc="2F0C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16D8D"/>
    <w:multiLevelType w:val="hybridMultilevel"/>
    <w:tmpl w:val="FAF063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6838"/>
    <w:multiLevelType w:val="hybridMultilevel"/>
    <w:tmpl w:val="F0907AC8"/>
    <w:lvl w:ilvl="0" w:tplc="04090001">
      <w:start w:val="1"/>
      <w:numFmt w:val="bullet"/>
      <w:lvlText w:val=""/>
      <w:lvlJc w:val="left"/>
      <w:pPr>
        <w:ind w:left="1080" w:hanging="360"/>
      </w:pPr>
      <w:rPr>
        <w:rFonts w:ascii="Symbol" w:hAnsi="Symbol"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3023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B2742E"/>
    <w:multiLevelType w:val="hybridMultilevel"/>
    <w:tmpl w:val="D34E1460"/>
    <w:lvl w:ilvl="0" w:tplc="E8DCBF3C">
      <w:start w:val="1"/>
      <w:numFmt w:val="upp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04D87"/>
    <w:multiLevelType w:val="hybridMultilevel"/>
    <w:tmpl w:val="F51AAD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9938D4"/>
    <w:multiLevelType w:val="hybridMultilevel"/>
    <w:tmpl w:val="BCD2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934B1"/>
    <w:multiLevelType w:val="hybridMultilevel"/>
    <w:tmpl w:val="EBCCAD4A"/>
    <w:lvl w:ilvl="0" w:tplc="7E9000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33452"/>
    <w:multiLevelType w:val="hybridMultilevel"/>
    <w:tmpl w:val="AA366BA2"/>
    <w:lvl w:ilvl="0" w:tplc="F6BAC13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73624"/>
    <w:multiLevelType w:val="hybridMultilevel"/>
    <w:tmpl w:val="9EAC9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A311A"/>
    <w:multiLevelType w:val="hybridMultilevel"/>
    <w:tmpl w:val="9140E36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0"/>
  </w:num>
  <w:num w:numId="4">
    <w:abstractNumId w:val="10"/>
  </w:num>
  <w:num w:numId="5">
    <w:abstractNumId w:val="10"/>
  </w:num>
  <w:num w:numId="6">
    <w:abstractNumId w:val="3"/>
  </w:num>
  <w:num w:numId="7">
    <w:abstractNumId w:val="11"/>
  </w:num>
  <w:num w:numId="8">
    <w:abstractNumId w:val="12"/>
  </w:num>
  <w:num w:numId="9">
    <w:abstractNumId w:val="8"/>
  </w:num>
  <w:num w:numId="10">
    <w:abstractNumId w:val="11"/>
  </w:num>
  <w:num w:numId="11">
    <w:abstractNumId w:val="6"/>
  </w:num>
  <w:num w:numId="12">
    <w:abstractNumId w:val="5"/>
  </w:num>
  <w:num w:numId="13">
    <w:abstractNumId w:val="1"/>
  </w:num>
  <w:num w:numId="14">
    <w:abstractNumId w:val="0"/>
  </w:num>
  <w:num w:numId="15">
    <w:abstractNumId w:val="11"/>
  </w:num>
  <w:num w:numId="16">
    <w:abstractNumId w:val="7"/>
  </w:num>
  <w:num w:numId="17">
    <w:abstractNumId w:val="9"/>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46"/>
    <w:rsid w:val="00020E9E"/>
    <w:rsid w:val="0005779C"/>
    <w:rsid w:val="0006284B"/>
    <w:rsid w:val="00105F55"/>
    <w:rsid w:val="00107A9A"/>
    <w:rsid w:val="00134BF6"/>
    <w:rsid w:val="001547E5"/>
    <w:rsid w:val="001A5F09"/>
    <w:rsid w:val="00202A65"/>
    <w:rsid w:val="002B51A6"/>
    <w:rsid w:val="00305D86"/>
    <w:rsid w:val="00364E01"/>
    <w:rsid w:val="00372704"/>
    <w:rsid w:val="00423786"/>
    <w:rsid w:val="004476CF"/>
    <w:rsid w:val="00496E5C"/>
    <w:rsid w:val="004B1DDF"/>
    <w:rsid w:val="004C3626"/>
    <w:rsid w:val="004E5DC2"/>
    <w:rsid w:val="00537279"/>
    <w:rsid w:val="00543903"/>
    <w:rsid w:val="005873FF"/>
    <w:rsid w:val="005D0BC6"/>
    <w:rsid w:val="00627DEA"/>
    <w:rsid w:val="00633A74"/>
    <w:rsid w:val="006A32D3"/>
    <w:rsid w:val="006B5E3B"/>
    <w:rsid w:val="006C4746"/>
    <w:rsid w:val="006E63A8"/>
    <w:rsid w:val="007370FF"/>
    <w:rsid w:val="007B767D"/>
    <w:rsid w:val="00810DC0"/>
    <w:rsid w:val="008172B5"/>
    <w:rsid w:val="00825686"/>
    <w:rsid w:val="0083412E"/>
    <w:rsid w:val="00850936"/>
    <w:rsid w:val="008E03C3"/>
    <w:rsid w:val="00921B0A"/>
    <w:rsid w:val="00975BB6"/>
    <w:rsid w:val="009910C4"/>
    <w:rsid w:val="00A24D4B"/>
    <w:rsid w:val="00A31751"/>
    <w:rsid w:val="00A6579D"/>
    <w:rsid w:val="00AD5E39"/>
    <w:rsid w:val="00BD6EBE"/>
    <w:rsid w:val="00C21D79"/>
    <w:rsid w:val="00CB4840"/>
    <w:rsid w:val="00CD2A0C"/>
    <w:rsid w:val="00D102F2"/>
    <w:rsid w:val="00D43857"/>
    <w:rsid w:val="00D70824"/>
    <w:rsid w:val="00D8745E"/>
    <w:rsid w:val="00DB4FC8"/>
    <w:rsid w:val="00DD213F"/>
    <w:rsid w:val="00E22CA5"/>
    <w:rsid w:val="00E37DDC"/>
    <w:rsid w:val="00EA2B60"/>
    <w:rsid w:val="00F10718"/>
    <w:rsid w:val="00F30C4B"/>
    <w:rsid w:val="00F85D10"/>
    <w:rsid w:val="00FF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9684"/>
  <w15:chartTrackingRefBased/>
  <w15:docId w15:val="{8CDDC043-C30B-4DBD-9316-9D1ED85E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3F"/>
    <w:pPr>
      <w:spacing w:before="60" w:after="60" w:line="240" w:lineRule="auto"/>
    </w:pPr>
  </w:style>
  <w:style w:type="paragraph" w:styleId="Heading1">
    <w:name w:val="heading 1"/>
    <w:basedOn w:val="Normal"/>
    <w:next w:val="Normal"/>
    <w:link w:val="Heading1Char"/>
    <w:uiPriority w:val="9"/>
    <w:qFormat/>
    <w:rsid w:val="00627DEA"/>
    <w:pPr>
      <w:keepNext/>
      <w:keepLines/>
      <w:spacing w:before="240" w:after="0"/>
      <w:outlineLvl w:val="0"/>
    </w:pPr>
    <w:rPr>
      <w:rFonts w:asciiTheme="majorHAnsi" w:eastAsiaTheme="majorEastAsia" w:hAnsiTheme="majorHAnsi" w:cstheme="majorBidi"/>
      <w:b/>
      <w:caps/>
      <w:color w:val="1F4E79" w:themeColor="accent1" w:themeShade="80"/>
      <w:sz w:val="36"/>
      <w:szCs w:val="32"/>
    </w:rPr>
  </w:style>
  <w:style w:type="paragraph" w:styleId="Heading2">
    <w:name w:val="heading 2"/>
    <w:basedOn w:val="Normal"/>
    <w:next w:val="Normal"/>
    <w:link w:val="Heading2Char"/>
    <w:uiPriority w:val="9"/>
    <w:unhideWhenUsed/>
    <w:qFormat/>
    <w:rsid w:val="00825686"/>
    <w:pPr>
      <w:keepNext/>
      <w:keepLines/>
      <w:numPr>
        <w:numId w:val="7"/>
      </w:numPr>
      <w:spacing w:before="120"/>
      <w:outlineLvl w:val="1"/>
    </w:pPr>
    <w:rPr>
      <w:rFonts w:asciiTheme="majorHAnsi" w:eastAsiaTheme="majorEastAsia" w:hAnsiTheme="majorHAnsi" w:cstheme="majorBidi"/>
      <w:b/>
      <w:color w:val="2E74B5" w:themeColor="accent1" w:themeShade="BF"/>
      <w:sz w:val="28"/>
      <w:szCs w:val="26"/>
      <w:u w:val="single"/>
    </w:rPr>
  </w:style>
  <w:style w:type="paragraph" w:styleId="Heading3">
    <w:name w:val="heading 3"/>
    <w:basedOn w:val="Normal"/>
    <w:next w:val="Normal"/>
    <w:link w:val="Heading3Char"/>
    <w:uiPriority w:val="9"/>
    <w:unhideWhenUsed/>
    <w:qFormat/>
    <w:rsid w:val="00975BB6"/>
    <w:pPr>
      <w:keepNext/>
      <w:keepLines/>
      <w:numPr>
        <w:numId w:val="16"/>
      </w:numPr>
      <w:spacing w:before="240" w:after="0"/>
      <w:ind w:left="1080"/>
      <w:outlineLvl w:val="2"/>
    </w:pPr>
    <w:rPr>
      <w:rFonts w:asciiTheme="majorHAnsi" w:eastAsiaTheme="majorEastAsia" w:hAnsiTheme="majorHAnsi"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746"/>
    <w:pPr>
      <w:ind w:left="720"/>
      <w:contextualSpacing/>
    </w:pPr>
  </w:style>
  <w:style w:type="character" w:styleId="Hyperlink">
    <w:name w:val="Hyperlink"/>
    <w:basedOn w:val="DefaultParagraphFont"/>
    <w:uiPriority w:val="99"/>
    <w:unhideWhenUsed/>
    <w:rsid w:val="006C4746"/>
    <w:rPr>
      <w:color w:val="0563C1" w:themeColor="hyperlink"/>
      <w:u w:val="single"/>
    </w:rPr>
  </w:style>
  <w:style w:type="table" w:styleId="TableGrid">
    <w:name w:val="Table Grid"/>
    <w:basedOn w:val="TableNormal"/>
    <w:uiPriority w:val="39"/>
    <w:rsid w:val="00F8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7DEA"/>
    <w:rPr>
      <w:rFonts w:asciiTheme="majorHAnsi" w:eastAsiaTheme="majorEastAsia" w:hAnsiTheme="majorHAnsi" w:cstheme="majorBidi"/>
      <w:b/>
      <w:caps/>
      <w:color w:val="1F4E79" w:themeColor="accent1" w:themeShade="80"/>
      <w:sz w:val="36"/>
      <w:szCs w:val="32"/>
    </w:rPr>
  </w:style>
  <w:style w:type="character" w:customStyle="1" w:styleId="Heading2Char">
    <w:name w:val="Heading 2 Char"/>
    <w:basedOn w:val="DefaultParagraphFont"/>
    <w:link w:val="Heading2"/>
    <w:uiPriority w:val="9"/>
    <w:rsid w:val="00825686"/>
    <w:rPr>
      <w:rFonts w:asciiTheme="majorHAnsi" w:eastAsiaTheme="majorEastAsia" w:hAnsiTheme="majorHAnsi" w:cstheme="majorBidi"/>
      <w:b/>
      <w:color w:val="2E74B5" w:themeColor="accent1" w:themeShade="BF"/>
      <w:sz w:val="28"/>
      <w:szCs w:val="26"/>
      <w:u w:val="single"/>
    </w:rPr>
  </w:style>
  <w:style w:type="paragraph" w:styleId="BalloonText">
    <w:name w:val="Balloon Text"/>
    <w:basedOn w:val="Normal"/>
    <w:link w:val="BalloonTextChar"/>
    <w:uiPriority w:val="99"/>
    <w:semiHidden/>
    <w:unhideWhenUsed/>
    <w:rsid w:val="005873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FF"/>
    <w:rPr>
      <w:rFonts w:ascii="Segoe UI" w:hAnsi="Segoe UI" w:cs="Segoe UI"/>
      <w:sz w:val="18"/>
      <w:szCs w:val="18"/>
    </w:rPr>
  </w:style>
  <w:style w:type="character" w:customStyle="1" w:styleId="Heading3Char">
    <w:name w:val="Heading 3 Char"/>
    <w:basedOn w:val="DefaultParagraphFont"/>
    <w:link w:val="Heading3"/>
    <w:uiPriority w:val="9"/>
    <w:rsid w:val="00975BB6"/>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ystem.nexonia.com/assistant/signin"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759E-C0AD-40BB-AB17-A57C8708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Sinosic</dc:creator>
  <cp:keywords/>
  <dc:description/>
  <cp:lastModifiedBy>Brian Sinosic</cp:lastModifiedBy>
  <cp:revision>2</cp:revision>
  <cp:lastPrinted>2020-02-19T19:41:00Z</cp:lastPrinted>
  <dcterms:created xsi:type="dcterms:W3CDTF">2020-02-20T01:09:00Z</dcterms:created>
  <dcterms:modified xsi:type="dcterms:W3CDTF">2020-02-20T01:09:00Z</dcterms:modified>
</cp:coreProperties>
</file>